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120" w:line="240" w:lineRule="auto"/>
        <w:ind w:firstLine="708"/>
        <w:jc w:val="center"/>
        <w:rPr>
          <w:b w:val="1"/>
          <w:color w:themeColor="text2" w:themeShade="80" w:val="0F243E"/>
          <w:sz w:val="36"/>
        </w:rPr>
      </w:pPr>
      <w:r>
        <w:rPr>
          <w:b w:val="1"/>
          <w:color w:themeColor="text2" w:themeShade="80" w:val="0F243E"/>
          <w:sz w:val="36"/>
        </w:rPr>
        <w:t>О необходимости</w:t>
      </w:r>
      <w:r>
        <w:rPr>
          <w:b w:val="1"/>
          <w:color w:themeColor="text2" w:themeShade="80" w:val="0F243E"/>
          <w:sz w:val="36"/>
        </w:rPr>
        <w:t xml:space="preserve"> получения  квалифицированной электронной подписи </w:t>
      </w:r>
      <w:r>
        <w:rPr>
          <w:b w:val="1"/>
          <w:color w:themeColor="text2" w:themeShade="80" w:val="0F243E"/>
          <w:sz w:val="36"/>
        </w:rPr>
        <w:t>в ФНС России</w:t>
      </w:r>
    </w:p>
    <w:p w14:paraId="04000000">
      <w:pPr>
        <w:spacing w:after="0" w:line="264" w:lineRule="auto"/>
        <w:ind w:firstLine="709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color w:themeColor="text2" w:themeShade="80" w:val="0F243E"/>
          <w:sz w:val="27"/>
        </w:rPr>
        <w:t>С 01.07.202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1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ФНС России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начинает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выдачу</w:t>
      </w:r>
      <w:r>
        <w:rPr>
          <w:rFonts w:ascii="Times New Roman" w:hAnsi="Times New Roman"/>
          <w:color w:themeColor="text2" w:themeShade="80" w:val="0F243E"/>
          <w:sz w:val="27"/>
        </w:rPr>
        <w:t xml:space="preserve"> квалифицированн</w:t>
      </w:r>
      <w:r>
        <w:rPr>
          <w:rFonts w:ascii="Times New Roman" w:hAnsi="Times New Roman"/>
          <w:color w:themeColor="text2" w:themeShade="80" w:val="0F243E"/>
          <w:sz w:val="27"/>
        </w:rPr>
        <w:t>ых</w:t>
      </w:r>
      <w:r>
        <w:rPr>
          <w:rFonts w:ascii="Times New Roman" w:hAnsi="Times New Roman"/>
          <w:color w:themeColor="text2" w:themeShade="80" w:val="0F243E"/>
          <w:sz w:val="27"/>
        </w:rPr>
        <w:t xml:space="preserve"> сертификат</w:t>
      </w:r>
      <w:r>
        <w:rPr>
          <w:rFonts w:ascii="Times New Roman" w:hAnsi="Times New Roman"/>
          <w:color w:themeColor="text2" w:themeShade="80" w:val="0F243E"/>
          <w:sz w:val="27"/>
        </w:rPr>
        <w:t>ов</w:t>
      </w:r>
      <w:r>
        <w:rPr>
          <w:rFonts w:ascii="Times New Roman" w:hAnsi="Times New Roman"/>
          <w:color w:themeColor="text2" w:themeShade="80" w:val="0F243E"/>
          <w:sz w:val="27"/>
        </w:rPr>
        <w:t xml:space="preserve"> ключа проверки электронной подписи</w:t>
      </w:r>
      <w:r>
        <w:rPr>
          <w:rFonts w:ascii="Times New Roman" w:hAnsi="Times New Roman"/>
          <w:color w:themeColor="text2" w:themeShade="80" w:val="0F243E"/>
          <w:sz w:val="27"/>
        </w:rPr>
        <w:t xml:space="preserve"> (далее КЭП)</w:t>
      </w:r>
      <w:r>
        <w:rPr>
          <w:rFonts w:ascii="Times New Roman" w:hAnsi="Times New Roman"/>
          <w:color w:themeColor="text2" w:themeShade="80" w:val="0F243E"/>
          <w:sz w:val="27"/>
        </w:rPr>
        <w:t>.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С 01.01.2022 п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рименение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электронных подписей</w:t>
      </w:r>
      <w:r>
        <w:rPr>
          <w:rFonts w:ascii="Times New Roman" w:hAnsi="Times New Roman"/>
          <w:b w:val="1"/>
          <w:sz w:val="27"/>
        </w:rPr>
        <w:t xml:space="preserve">, выданных </w:t>
      </w:r>
      <w:r>
        <w:rPr>
          <w:rFonts w:ascii="Times New Roman" w:hAnsi="Times New Roman"/>
          <w:b w:val="1"/>
          <w:sz w:val="27"/>
        </w:rPr>
        <w:t>коммерческими</w:t>
      </w:r>
      <w:r>
        <w:rPr>
          <w:rFonts w:ascii="Times New Roman" w:hAnsi="Times New Roman"/>
          <w:b w:val="1"/>
          <w:sz w:val="27"/>
        </w:rPr>
        <w:t xml:space="preserve"> Удостоверяющими Центрами, прекращается</w:t>
      </w:r>
      <w:r>
        <w:rPr>
          <w:rFonts w:ascii="Times New Roman" w:hAnsi="Times New Roman"/>
          <w:b w:val="1"/>
          <w:sz w:val="27"/>
        </w:rPr>
        <w:t xml:space="preserve"> (Федеральный закон от 27.12.2019 №476-ФЗ)</w:t>
      </w:r>
      <w:r>
        <w:rPr>
          <w:rFonts w:ascii="Times New Roman" w:hAnsi="Times New Roman"/>
          <w:b w:val="1"/>
          <w:sz w:val="27"/>
        </w:rPr>
        <w:t>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Представить</w:t>
      </w:r>
      <w:r>
        <w:rPr>
          <w:rFonts w:ascii="Times New Roman" w:hAnsi="Times New Roman"/>
          <w:color w:themeColor="text2" w:themeShade="80" w:val="0F243E"/>
          <w:sz w:val="27"/>
        </w:rPr>
        <w:t xml:space="preserve"> налоговую</w:t>
      </w:r>
      <w:r>
        <w:rPr>
          <w:rFonts w:ascii="Times New Roman" w:hAnsi="Times New Roman"/>
          <w:color w:themeColor="text2" w:themeShade="80" w:val="0F243E"/>
          <w:sz w:val="27"/>
        </w:rPr>
        <w:t xml:space="preserve"> отчетность после 01.01.2022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без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КЭП</w:t>
      </w:r>
      <w:r>
        <w:rPr>
          <w:rFonts w:ascii="Times New Roman" w:hAnsi="Times New Roman"/>
          <w:color w:themeColor="text2" w:themeShade="80" w:val="0F243E"/>
          <w:sz w:val="27"/>
        </w:rPr>
        <w:t>,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выданно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го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ФНС России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(КЭП ФНС) 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руководител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ю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организации (индивидуально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му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предпринимател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ю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)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,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 xml:space="preserve">будет </w:t>
      </w:r>
      <w:r>
        <w:rPr>
          <w:rFonts w:ascii="Times New Roman" w:hAnsi="Times New Roman"/>
          <w:color w:themeColor="text2" w:themeShade="80" w:val="0F243E"/>
          <w:sz w:val="27"/>
        </w:rPr>
        <w:t>невозможно (</w:t>
      </w:r>
      <w:r>
        <w:rPr>
          <w:rFonts w:ascii="Times New Roman" w:hAnsi="Times New Roman"/>
          <w:color w:themeColor="text2" w:themeShade="80" w:val="0F243E"/>
          <w:sz w:val="27"/>
        </w:rPr>
        <w:t xml:space="preserve">отчетность должна быть либо подписана  руководителем КЭП ФНС, либо к ней должна быть приложена </w:t>
      </w:r>
      <w:r>
        <w:rPr>
          <w:rFonts w:ascii="Times New Roman" w:hAnsi="Times New Roman"/>
          <w:color w:themeColor="text2" w:themeShade="80" w:val="0F243E"/>
          <w:sz w:val="27"/>
        </w:rPr>
        <w:t>доверенност</w:t>
      </w:r>
      <w:r>
        <w:rPr>
          <w:rFonts w:ascii="Times New Roman" w:hAnsi="Times New Roman"/>
          <w:color w:themeColor="text2" w:themeShade="80" w:val="0F243E"/>
          <w:sz w:val="27"/>
        </w:rPr>
        <w:t>ь</w:t>
      </w:r>
      <w:r>
        <w:rPr>
          <w:rFonts w:ascii="Times New Roman" w:hAnsi="Times New Roman"/>
          <w:color w:themeColor="text2" w:themeShade="80" w:val="0F243E"/>
          <w:sz w:val="27"/>
        </w:rPr>
        <w:t xml:space="preserve"> в электронной форме, подписанн</w:t>
      </w:r>
      <w:r>
        <w:rPr>
          <w:rFonts w:ascii="Times New Roman" w:hAnsi="Times New Roman"/>
          <w:color w:themeColor="text2" w:themeShade="80" w:val="0F243E"/>
          <w:sz w:val="27"/>
        </w:rPr>
        <w:t>ая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КЭП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ФНС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руководителя организации (индивидуального предпринимателя).</w:t>
      </w: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 xml:space="preserve">КЭП </w:t>
      </w:r>
      <w:r>
        <w:rPr>
          <w:rFonts w:ascii="Times New Roman" w:hAnsi="Times New Roman"/>
          <w:color w:themeColor="text2" w:themeShade="80" w:val="0F243E"/>
          <w:sz w:val="27"/>
        </w:rPr>
        <w:t xml:space="preserve">ФНС </w:t>
      </w:r>
      <w:r>
        <w:rPr>
          <w:rFonts w:ascii="Times New Roman" w:hAnsi="Times New Roman"/>
          <w:color w:themeColor="text2" w:themeShade="80" w:val="0F243E"/>
          <w:sz w:val="27"/>
        </w:rPr>
        <w:t>позволит представлять отчетность</w:t>
      </w:r>
      <w:r>
        <w:rPr>
          <w:rFonts w:ascii="Times New Roman" w:hAnsi="Times New Roman"/>
          <w:color w:themeColor="text2" w:themeShade="80" w:val="0F243E"/>
          <w:sz w:val="27"/>
        </w:rPr>
        <w:t>,  как в 2021, так и в 2022 го</w:t>
      </w:r>
      <w:bookmarkStart w:id="1" w:name="_GoBack"/>
      <w:bookmarkEnd w:id="1"/>
      <w:r>
        <w:rPr>
          <w:rFonts w:ascii="Times New Roman" w:hAnsi="Times New Roman"/>
          <w:color w:themeColor="text2" w:themeShade="80" w:val="0F243E"/>
          <w:sz w:val="27"/>
        </w:rPr>
        <w:t>ду, вести электронный документооборот во всех сферах деятельности.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 xml:space="preserve">Выдачу КЭП </w:t>
      </w:r>
      <w:r>
        <w:rPr>
          <w:rFonts w:ascii="Times New Roman" w:hAnsi="Times New Roman"/>
          <w:color w:themeColor="text2" w:themeShade="80" w:val="0F243E"/>
          <w:sz w:val="27"/>
        </w:rPr>
        <w:t xml:space="preserve">ФНС </w:t>
      </w:r>
      <w:r>
        <w:rPr>
          <w:rFonts w:ascii="Times New Roman" w:hAnsi="Times New Roman"/>
          <w:color w:themeColor="text2" w:themeShade="80" w:val="0F243E"/>
          <w:sz w:val="27"/>
        </w:rPr>
        <w:t>осуществляет Межрайонная ИФНС России №15 по Санкт-Петербургу</w:t>
      </w:r>
      <w:r>
        <w:rPr>
          <w:rFonts w:ascii="Times New Roman" w:hAnsi="Times New Roman"/>
          <w:color w:themeColor="text2" w:themeShade="80" w:val="0F243E"/>
          <w:sz w:val="27"/>
        </w:rPr>
        <w:t xml:space="preserve"> (далее – Инспекция) </w:t>
      </w:r>
      <w:r>
        <w:rPr>
          <w:rFonts w:ascii="Times New Roman" w:hAnsi="Times New Roman"/>
          <w:color w:themeColor="text2" w:themeShade="80" w:val="0F243E"/>
          <w:sz w:val="27"/>
        </w:rPr>
        <w:t xml:space="preserve">по адресу: Санкт-Петербург, ул. Красного Текстильщика, д.10-12, литер О. </w:t>
      </w:r>
    </w:p>
    <w:p w14:paraId="08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КЭ</w:t>
      </w:r>
      <w:r>
        <w:rPr>
          <w:rFonts w:ascii="Times New Roman" w:hAnsi="Times New Roman"/>
          <w:color w:themeColor="text2" w:themeShade="80" w:val="0F243E"/>
          <w:sz w:val="27"/>
        </w:rPr>
        <w:t xml:space="preserve">П предоставляется </w:t>
      </w:r>
      <w:r>
        <w:rPr>
          <w:rFonts w:ascii="Times New Roman" w:hAnsi="Times New Roman"/>
          <w:color w:themeColor="text2" w:themeShade="80" w:val="0F243E"/>
          <w:sz w:val="27"/>
        </w:rPr>
        <w:t xml:space="preserve">Инспекцией бесплатно </w:t>
      </w:r>
    </w:p>
    <w:p w14:paraId="09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 xml:space="preserve">КЭП </w:t>
      </w:r>
      <w:r>
        <w:rPr>
          <w:rFonts w:ascii="Times New Roman" w:hAnsi="Times New Roman"/>
          <w:color w:themeColor="text2" w:themeShade="80" w:val="0F243E"/>
          <w:sz w:val="27"/>
        </w:rPr>
        <w:t>имеют срок действия 15 месяцев и могут быть использованы с момента их выдачи для сдачи отчетности и ведения хозяйственной деятельности</w:t>
      </w:r>
    </w:p>
    <w:p w14:paraId="0A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b w:val="1"/>
          <w:color w:themeColor="text2" w:themeShade="80" w:val="0F243E"/>
          <w:sz w:val="27"/>
        </w:rPr>
      </w:pP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КЭП может получить только лично руководитель организации (индивидуальный предприниматель). </w:t>
      </w:r>
    </w:p>
    <w:p w14:paraId="0B000000">
      <w:pPr>
        <w:pStyle w:val="Style_2"/>
        <w:spacing w:after="120" w:before="120"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П</w:t>
      </w:r>
      <w:r>
        <w:rPr>
          <w:rFonts w:ascii="Times New Roman" w:hAnsi="Times New Roman"/>
          <w:color w:themeColor="text2" w:themeShade="80" w:val="0F243E"/>
          <w:sz w:val="27"/>
        </w:rPr>
        <w:t xml:space="preserve">ри визите </w:t>
      </w:r>
      <w:r>
        <w:rPr>
          <w:rFonts w:ascii="Times New Roman" w:hAnsi="Times New Roman"/>
          <w:color w:themeColor="text2" w:themeShade="80" w:val="0F243E"/>
          <w:sz w:val="27"/>
        </w:rPr>
        <w:t>в Инспекцию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 xml:space="preserve">для получения КЭП </w:t>
      </w:r>
      <w:r>
        <w:rPr>
          <w:rFonts w:ascii="Times New Roman" w:hAnsi="Times New Roman"/>
          <w:color w:themeColor="text2" w:themeShade="80" w:val="0F243E"/>
          <w:sz w:val="27"/>
        </w:rPr>
        <w:t xml:space="preserve">ФНС </w:t>
      </w:r>
      <w:r>
        <w:rPr>
          <w:rFonts w:ascii="Times New Roman" w:hAnsi="Times New Roman"/>
          <w:color w:themeColor="text2" w:themeShade="80" w:val="0F243E"/>
          <w:sz w:val="27"/>
        </w:rPr>
        <w:t>необходимо иметь с собой</w:t>
      </w:r>
      <w:r>
        <w:rPr>
          <w:rFonts w:ascii="Times New Roman" w:hAnsi="Times New Roman"/>
          <w:color w:themeColor="text2" w:themeShade="80" w:val="0F243E"/>
          <w:sz w:val="27"/>
        </w:rPr>
        <w:t>:</w:t>
      </w:r>
    </w:p>
    <w:p w14:paraId="0C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паспорт, а также копи</w:t>
      </w:r>
      <w:r>
        <w:rPr>
          <w:rFonts w:ascii="Times New Roman" w:hAnsi="Times New Roman"/>
          <w:color w:themeColor="text2" w:themeShade="80" w:val="0F243E"/>
          <w:sz w:val="27"/>
        </w:rPr>
        <w:t>ю</w:t>
      </w:r>
      <w:r>
        <w:rPr>
          <w:rFonts w:ascii="Times New Roman" w:hAnsi="Times New Roman"/>
          <w:color w:themeColor="text2" w:themeShade="80" w:val="0F243E"/>
          <w:sz w:val="27"/>
        </w:rPr>
        <w:t xml:space="preserve"> паспорта (развороты 2-3, 4-5 страниц паспорта)</w:t>
      </w:r>
    </w:p>
    <w:p w14:paraId="0D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СНИЛС, а так же копи</w:t>
      </w:r>
      <w:r>
        <w:rPr>
          <w:rFonts w:ascii="Times New Roman" w:hAnsi="Times New Roman"/>
          <w:color w:themeColor="text2" w:themeShade="80" w:val="0F243E"/>
          <w:sz w:val="27"/>
        </w:rPr>
        <w:t>ю СНИЛС</w:t>
      </w:r>
    </w:p>
    <w:p w14:paraId="0E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сведения об ИНН руководителя организации (индивидуального предпринимателя</w:t>
      </w:r>
      <w:r>
        <w:rPr>
          <w:rFonts w:ascii="Times New Roman" w:hAnsi="Times New Roman"/>
          <w:color w:themeColor="text2" w:themeShade="80" w:val="0F243E"/>
          <w:sz w:val="27"/>
        </w:rPr>
        <w:t>)</w:t>
      </w:r>
    </w:p>
    <w:p w14:paraId="0F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w:t>ИНН юридического лица</w:t>
      </w:r>
    </w:p>
    <w:p w14:paraId="10000000">
      <w:pPr>
        <w:pStyle w:val="Style_2"/>
        <w:numPr>
          <w:ilvl w:val="0"/>
          <w:numId w:val="1"/>
        </w:numPr>
        <w:spacing w:line="264" w:lineRule="auto"/>
        <w:ind/>
        <w:jc w:val="both"/>
        <w:rPr>
          <w:color w:themeColor="text2" w:themeShade="80" w:val="0F243E"/>
          <w:sz w:val="27"/>
        </w:rPr>
      </w:pPr>
      <w:r>
        <w:rPr>
          <w:rFonts w:ascii="Times New Roman" w:hAnsi="Times New Roman"/>
          <w:color w:themeColor="text2" w:themeShade="80" w:val="0F243E"/>
          <w:sz w:val="27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3064510</wp:posOffset>
                </wp:positionH>
                <wp:positionV relativeFrom="paragraph">
                  <wp:posOffset>1679575</wp:posOffset>
                </wp:positionV>
                <wp:extent cx="161925" cy="0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>
                          <a:schemeClr val="accent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color w:themeColor="text2" w:themeShade="80" w:val="0F243E"/>
          <w:sz w:val="27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4340860</wp:posOffset>
                </wp:positionH>
                <wp:positionV relativeFrom="paragraph">
                  <wp:posOffset>1450975</wp:posOffset>
                </wp:positionV>
                <wp:extent cx="161925" cy="0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0"/>
                        <a:fillRef idx="0">
                          <a:schemeClr val="accent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color w:themeColor="text2" w:themeShade="80" w:val="0F243E"/>
          <w:sz w:val="27"/>
        </w:rPr>
        <w:t xml:space="preserve">носитель </w:t>
      </w:r>
      <w:r>
        <w:rPr>
          <w:rFonts w:ascii="Times New Roman" w:hAnsi="Times New Roman"/>
          <w:color w:themeColor="text2" w:themeShade="80" w:val="0F243E"/>
          <w:sz w:val="27"/>
        </w:rPr>
        <w:t>ключевой информации USB Тип-А (</w:t>
      </w:r>
      <w:r>
        <w:rPr>
          <w:rFonts w:ascii="Times New Roman" w:hAnsi="Times New Roman"/>
          <w:color w:themeColor="text2" w:themeShade="80" w:val="0F243E"/>
          <w:sz w:val="27"/>
        </w:rPr>
        <w:t>например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>Рутокен</w:t>
      </w:r>
      <w:r>
        <w:rPr>
          <w:rFonts w:ascii="Times New Roman" w:hAnsi="Times New Roman"/>
          <w:color w:themeColor="text2" w:themeShade="80" w:val="0F243E"/>
          <w:sz w:val="27"/>
        </w:rPr>
        <w:t xml:space="preserve"> ЭЦП 2.0, </w:t>
      </w:r>
      <w:r>
        <w:rPr>
          <w:rFonts w:ascii="Times New Roman" w:hAnsi="Times New Roman"/>
          <w:color w:themeColor="text2" w:themeShade="80" w:val="0F243E"/>
          <w:sz w:val="27"/>
        </w:rPr>
        <w:t>Рутокен</w:t>
      </w:r>
      <w:r>
        <w:rPr>
          <w:rFonts w:ascii="Times New Roman" w:hAnsi="Times New Roman"/>
          <w:color w:themeColor="text2" w:themeShade="80" w:val="0F243E"/>
          <w:sz w:val="27"/>
        </w:rPr>
        <w:t xml:space="preserve"> S, </w:t>
      </w:r>
      <w:r>
        <w:rPr>
          <w:rFonts w:ascii="Times New Roman" w:hAnsi="Times New Roman"/>
          <w:color w:themeColor="text2" w:themeShade="80" w:val="0F243E"/>
          <w:sz w:val="27"/>
        </w:rPr>
        <w:t>Рутокен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>Lite</w:t>
      </w:r>
      <w:r>
        <w:rPr>
          <w:rFonts w:ascii="Times New Roman" w:hAnsi="Times New Roman"/>
          <w:color w:themeColor="text2" w:themeShade="80" w:val="0F243E"/>
          <w:sz w:val="27"/>
        </w:rPr>
        <w:t xml:space="preserve">, </w:t>
      </w:r>
      <w:r>
        <w:rPr>
          <w:rFonts w:ascii="Times New Roman" w:hAnsi="Times New Roman"/>
          <w:color w:themeColor="text2" w:themeShade="80" w:val="0F243E"/>
          <w:sz w:val="27"/>
        </w:rPr>
        <w:t>JaCarta</w:t>
      </w:r>
      <w:r>
        <w:rPr>
          <w:rFonts w:ascii="Times New Roman" w:hAnsi="Times New Roman"/>
          <w:color w:themeColor="text2" w:themeShade="80" w:val="0F243E"/>
          <w:sz w:val="27"/>
        </w:rPr>
        <w:t xml:space="preserve"> ГОСТ, JaCarta-2 ГОСТ, </w:t>
      </w:r>
      <w:r>
        <w:rPr>
          <w:rFonts w:ascii="Times New Roman" w:hAnsi="Times New Roman"/>
          <w:color w:themeColor="text2" w:themeShade="80" w:val="0F243E"/>
          <w:sz w:val="27"/>
        </w:rPr>
        <w:t>JaCarta</w:t>
      </w:r>
      <w:r>
        <w:rPr>
          <w:rFonts w:ascii="Times New Roman" w:hAnsi="Times New Roman"/>
          <w:color w:themeColor="text2" w:themeShade="80" w:val="0F243E"/>
          <w:sz w:val="27"/>
        </w:rPr>
        <w:t xml:space="preserve"> LT, ESMART </w:t>
      </w:r>
      <w:r>
        <w:rPr>
          <w:rFonts w:ascii="Times New Roman" w:hAnsi="Times New Roman"/>
          <w:color w:themeColor="text2" w:themeShade="80" w:val="0F243E"/>
          <w:sz w:val="27"/>
        </w:rPr>
        <w:t>Token</w:t>
      </w:r>
      <w:r>
        <w:rPr>
          <w:rFonts w:ascii="Times New Roman" w:hAnsi="Times New Roman"/>
          <w:color w:themeColor="text2" w:themeShade="80" w:val="0F243E"/>
          <w:sz w:val="27"/>
        </w:rPr>
        <w:t xml:space="preserve">, ESMART </w:t>
      </w:r>
      <w:r>
        <w:rPr>
          <w:rFonts w:ascii="Times New Roman" w:hAnsi="Times New Roman"/>
          <w:color w:themeColor="text2" w:themeShade="80" w:val="0F243E"/>
          <w:sz w:val="27"/>
        </w:rPr>
        <w:t>Token</w:t>
      </w:r>
      <w:r>
        <w:rPr>
          <w:rFonts w:ascii="Times New Roman" w:hAnsi="Times New Roman"/>
          <w:color w:themeColor="text2" w:themeShade="80" w:val="0F243E"/>
          <w:sz w:val="27"/>
        </w:rPr>
        <w:t xml:space="preserve"> ГОСТ),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>приобрести который можно у операторов электронного документооборота, с приложением оригинала или копии сертификата соответствия</w:t>
      </w:r>
      <w:r>
        <w:rPr>
          <w:rFonts w:ascii="Times New Roman" w:hAnsi="Times New Roman"/>
          <w:color w:themeColor="text2" w:themeShade="80" w:val="0F243E"/>
          <w:sz w:val="27"/>
        </w:rPr>
        <w:t xml:space="preserve"> ФСТЭК России либо ФСБ России</w:t>
      </w:r>
      <w:r>
        <w:rPr>
          <w:rFonts w:ascii="Times New Roman" w:hAnsi="Times New Roman"/>
          <w:color w:themeColor="text2" w:themeShade="80" w:val="0F243E"/>
          <w:sz w:val="27"/>
        </w:rPr>
        <w:t>. Список операторов электронного документооборота и их контактные данные размещены на сайте ФНС России nalog.gov.ru</w:t>
      </w:r>
      <w:r>
        <w:rPr>
          <w:rFonts w:ascii="Times New Roman" w:hAnsi="Times New Roman"/>
          <w:color w:themeColor="text2" w:themeShade="80" w:val="0F243E"/>
          <w:sz w:val="27"/>
        </w:rPr>
        <w:t xml:space="preserve"> в рубрике «Налогообложение в РФ    представление Налоговой и бухгалтерской отчетности Организации-операторы Электронного документооборота».</w:t>
      </w:r>
    </w:p>
    <w:p w14:paraId="11000000">
      <w:pPr>
        <w:pStyle w:val="Style_2"/>
        <w:spacing w:before="120" w:line="264" w:lineRule="auto"/>
        <w:ind/>
        <w:jc w:val="both"/>
        <w:rPr>
          <w:rFonts w:ascii="Times New Roman" w:hAnsi="Times New Roman"/>
          <w:color w:themeColor="text2" w:themeShade="80" w:val="0F243E"/>
          <w:sz w:val="27"/>
        </w:rPr>
      </w:pP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Заблаговременное получение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КЭП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ФНС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позволит</w:t>
      </w:r>
      <w:r>
        <w:rPr>
          <w:rFonts w:ascii="Times New Roman" w:hAnsi="Times New Roman"/>
          <w:color w:themeColor="text2" w:themeShade="80" w:val="0F243E"/>
          <w:sz w:val="27"/>
        </w:rPr>
        <w:t xml:space="preserve"> Вам плавно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color w:themeColor="text2" w:themeShade="80" w:val="0F243E"/>
          <w:sz w:val="27"/>
        </w:rPr>
        <w:t xml:space="preserve">перейти к </w:t>
      </w:r>
      <w:r>
        <w:rPr>
          <w:rFonts w:ascii="Times New Roman" w:hAnsi="Times New Roman"/>
          <w:color w:themeColor="text2" w:themeShade="80" w:val="0F243E"/>
          <w:sz w:val="27"/>
        </w:rPr>
        <w:t xml:space="preserve">ее </w:t>
      </w:r>
      <w:r>
        <w:rPr>
          <w:rFonts w:ascii="Times New Roman" w:hAnsi="Times New Roman"/>
          <w:color w:themeColor="text2" w:themeShade="80" w:val="0F243E"/>
          <w:sz w:val="27"/>
        </w:rPr>
        <w:t>обязательно</w:t>
      </w:r>
      <w:r>
        <w:rPr>
          <w:rFonts w:ascii="Times New Roman" w:hAnsi="Times New Roman"/>
          <w:color w:themeColor="text2" w:themeShade="80" w:val="0F243E"/>
          <w:sz w:val="27"/>
        </w:rPr>
        <w:t>му</w:t>
      </w:r>
      <w:r>
        <w:rPr>
          <w:rFonts w:ascii="Times New Roman" w:hAnsi="Times New Roman"/>
          <w:color w:themeColor="text2" w:themeShade="80" w:val="0F243E"/>
          <w:sz w:val="27"/>
        </w:rPr>
        <w:t xml:space="preserve"> использовани</w:t>
      </w:r>
      <w:r>
        <w:rPr>
          <w:rFonts w:ascii="Times New Roman" w:hAnsi="Times New Roman"/>
          <w:color w:themeColor="text2" w:themeShade="80" w:val="0F243E"/>
          <w:sz w:val="27"/>
        </w:rPr>
        <w:t>ю</w:t>
      </w:r>
      <w:r>
        <w:rPr>
          <w:rFonts w:ascii="Times New Roman" w:hAnsi="Times New Roman"/>
          <w:color w:themeColor="text2" w:themeShade="80" w:val="0F243E"/>
          <w:sz w:val="27"/>
        </w:rPr>
        <w:t>, спокойно отправить отчеты</w:t>
      </w:r>
      <w:r>
        <w:rPr>
          <w:rFonts w:ascii="Times New Roman" w:hAnsi="Times New Roman"/>
          <w:color w:themeColor="text2" w:themeShade="80" w:val="0F243E"/>
          <w:sz w:val="27"/>
        </w:rPr>
        <w:t xml:space="preserve"> и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избежать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негативных</w:t>
      </w:r>
      <w:r>
        <w:rPr>
          <w:rFonts w:ascii="Times New Roman" w:hAnsi="Times New Roman"/>
          <w:color w:themeColor="text2" w:themeShade="80" w:val="0F243E"/>
          <w:sz w:val="27"/>
        </w:rPr>
        <w:t xml:space="preserve">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последствий нарушения сроков представления налоговой отчетности в новом году</w:t>
      </w:r>
      <w:r>
        <w:rPr>
          <w:rFonts w:ascii="Times New Roman" w:hAnsi="Times New Roman"/>
          <w:color w:themeColor="text2" w:themeShade="80" w:val="0F243E"/>
          <w:sz w:val="27"/>
        </w:rPr>
        <w:t xml:space="preserve">. </w:t>
      </w:r>
    </w:p>
    <w:p w14:paraId="12000000">
      <w:pPr>
        <w:pStyle w:val="Style_2"/>
        <w:spacing w:before="120" w:line="264" w:lineRule="auto"/>
        <w:ind/>
        <w:jc w:val="center"/>
        <w:rPr>
          <w:rFonts w:ascii="Times New Roman" w:hAnsi="Times New Roman"/>
          <w:b w:val="1"/>
          <w:color w:themeColor="text2" w:themeShade="80" w:val="0F243E"/>
          <w:sz w:val="27"/>
        </w:rPr>
      </w:pPr>
      <w:r>
        <w:rPr>
          <w:rFonts w:ascii="Times New Roman" w:hAnsi="Times New Roman"/>
          <w:b w:val="1"/>
          <w:color w:themeColor="text2" w:themeShade="80" w:val="0F243E"/>
          <w:sz w:val="27"/>
        </w:rPr>
        <w:t>Не затягивайте с получением КЭП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 ФНС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! И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сключите риски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 xml:space="preserve">, связанные с 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н</w:t>
      </w:r>
      <w:r>
        <w:rPr>
          <w:rFonts w:ascii="Times New Roman" w:hAnsi="Times New Roman"/>
          <w:b w:val="1"/>
          <w:color w:themeColor="text2" w:themeShade="80" w:val="0F243E"/>
          <w:sz w:val="27"/>
        </w:rPr>
        <w:t>есвоевременной сдачей отчетности!</w:t>
      </w:r>
    </w:p>
    <w:sectPr>
      <w:footerReference r:id="rId1" w:type="first"/>
      <w:footerReference r:id="rId2" w:type="default"/>
      <w:pgSz w:h="16838" w:w="11906"/>
      <w:pgMar w:bottom="284" w:footer="267" w:gutter="0" w:header="709" w:left="709" w:right="566" w:top="14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inline>
          <wp:extent cx="6677025" cy="798723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flipH="false" flipV="false" rot="0">
                    <a:ext cx="6677025" cy="798723"/>
                  </a:xfrm>
                  <a:prstGeom prst="rect"/>
                </pic:spPr>
              </pic:pic>
            </a:graphicData>
          </a:graphic>
        </wp:inline>
      </w:drawing>
    </w: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  <w:r>
      <w:drawing>
        <wp:inline>
          <wp:extent cx="6199632" cy="798576"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flipH="false" flipV="false" rot="0">
                    <a:ext cx="6199632" cy="798576"/>
                  </a:xfrm>
                  <a:prstGeom prst="rect"/>
                </pic:spPr>
              </pic:pic>
            </a:graphicData>
          </a:graphic>
        </wp:inline>
      </w:drawing>
    </w: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"/>
      <w:lvlJc w:val="left"/>
      <w:pPr>
        <w:ind w:hanging="360" w:left="786"/>
      </w:pPr>
      <w:rPr>
        <w:rFonts w:ascii="Wingdings" w:hAnsi="Wingdings"/>
        <w:color w:val="002060"/>
        <w:sz w:val="36"/>
      </w:rPr>
    </w:lvl>
    <w:lvl w:ilvl="1">
      <w:start w:val="1"/>
      <w:numFmt w:val="bullet"/>
      <w:lvlText w:val="o"/>
      <w:lvlJc w:val="left"/>
      <w:pPr>
        <w:ind w:hanging="360" w:left="150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6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2" w:type="paragraph">
    <w:name w:val="Default"/>
    <w:link w:val="Style_2_ch"/>
    <w:pPr>
      <w:spacing w:after="0" w:line="240" w:lineRule="auto"/>
      <w:ind/>
    </w:pPr>
    <w:rPr>
      <w:rFonts w:ascii="DINCyr-Medium" w:hAnsi="DINCyr-Medium"/>
      <w:color w:val="000000"/>
      <w:sz w:val="24"/>
    </w:rPr>
  </w:style>
  <w:style w:styleId="Style_2_ch" w:type="character">
    <w:name w:val="Default"/>
    <w:link w:val="Style_2"/>
    <w:rPr>
      <w:rFonts w:ascii="DINCyr-Medium" w:hAnsi="DINCyr-Medium"/>
      <w:color w:val="000000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_rels/foot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_rels/footer2.xml.rels><?xml version="1.0" encoding="UTF-8" standalone="no" ?>
<Relationships xmlns="http://schemas.openxmlformats.org/package/2006/relationships">
  <Relationship Id="rId1" Target="media/2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2021-06-22T12:20:47Z</dcterms:modified>
</cp:coreProperties>
</file>